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4116"/>
        <w:gridCol w:w="5016"/>
      </w:tblGrid>
      <w:tr w:rsidR="00AA25C5" w:rsidTr="00AA25C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Cote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Intitulé du Fonds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isolés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Corneille-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Dehaumont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Cabinet d'affaires, administration municipales d'Evreux, Affaires traitées au conseil général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Martel de Gournay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Chartrier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Canel 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Collection d'autographes, curiosités biographiques, histoire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normandie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pratiques religieuses, traditions populaires...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Boisdennemets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Chartrier : Documents généraux, livres de comptes, successions, procédures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Joseph de L'Hôpital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Oeuvre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littéraire, correspondance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d'archives des paroisses et des confréries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Ensemble non cohérent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des Etablissements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-Marquis (Rugles)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Pièces comptables, albums d'étiquettes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Odoart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Bois Millon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Documents sur les familles Buisson,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Odoart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Milon...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Lucas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Lestanville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autres familles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Papiers de familles, terriers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du Lycée agricole du Neubourg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Administration générale, comptabilité, statistiques, documentation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Famille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Bonjean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château d'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Orgeville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Documents relatifs à la famille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Bonjean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les familles alliées et la société générale de protection de l'enfance abandonnée et coupable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de la Société Libre de l'Eure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Manuscrits, notes, articles d'André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Beaunier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(Littérateur)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Chartrier du Plessis 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Bouquelon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Titres de propriétés, pièces de procédures, titres et papiers de famille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Famille Rousset</w:t>
            </w:r>
          </w:p>
          <w:p w:rsidR="0033640D" w:rsidRDefault="0033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soumise à autorisation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Agendas, carnets de notes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Julien Papp </w:t>
            </w:r>
          </w:p>
          <w:p w:rsidR="0033640D" w:rsidRDefault="0033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soumise aux règles en vigueu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r pour les archives publiques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Documentation préparatoire des ouvrages rédigés par J. Papp : notes, correspondance, 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Schneider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Rubanerie 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Menneval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Bernay : 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Société de secours mutuels des cantonniers du département de l'Eure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Activités de la société de secours mutuels : statuts, assemblées générales, comptabilité, bénéficiaires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Saint-Girons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Amiral La Roncière 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Noury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Hector d'Aure, Joseph de l'Hôpital et Pierre Saint-Girons : papiers personnels, notes historiques et littéraires, baux, droits d'usage, titres de propriété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Bertrand Lévy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Etablissement public de la Basse-Seine (EPBS), à la construction de la ville nouvelle du Vaudreuil et aux régions Haute-Normandie et Ile-de-France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131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de l'entreprise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Audresset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(Louviers)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Entreprises textiles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Audresset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Lefaix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Miquel 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Breton,à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Louviers : administration générale, plans, dossiers techniques, production, comptabilité, personnel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Ard'Eure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Rapports d'activité, inventaires du matériel, comptabilité,....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 J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Collection Rosse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relatifs au département de l'Eure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SAS ASPOCOMP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de l'entreprise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 Fonderies de Vernon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Documents de l'entreprise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 J</w:t>
            </w: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relatif à une maison de la rue Potard à Vernon</w:t>
            </w:r>
          </w:p>
        </w:tc>
        <w:tc>
          <w:tcPr>
            <w:tcW w:w="5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Dossier relatif à une maison de la rue Potard, à Vernon et à ses acquisitions successives par les familles de Tilly (seigneurs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Fouquet de Belle-Isle, Lemoyne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Bellisle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Langlois (XVIIIe - XIXe siècles) : actes de vente, pièces de procédures, cessions à fief, adjudications (24 pièces papier, 9 pièces parchemin, 1652-1829)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Chartrier de Bois-Nouvel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registres rassemblant des papiers et parchemins du XVIe au XIXe siècle, un plan sur papier entoilé dressé en 1776 et son étui du XIXe siècle. Titres des familles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Mallevoue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 Tremblay, Legrand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Gléfien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Leseigneur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Taillevis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Perrigny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du Merle, relatifs au domaine de Bois-Nouvel : acquisitions, cessions, échanges, transactions, baux à ferme, contrats de mariage, procédures, adjudications, plan terrier (1776), quittances, retraits féodaux 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lignagiers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partages et tirages au sort sur succession, bornages (1534-1867)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162 J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Fonderie et laminoir de Breteuil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Dossiers clients, archives techniques , registres comptables, registres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personnel,photos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échantillons de la production</w:t>
            </w:r>
          </w:p>
        </w:tc>
      </w:tr>
      <w:tr w:rsidR="00C82A29" w:rsidRPr="00C82A29" w:rsidTr="00C82A2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29" w:rsidRPr="00C82A29" w:rsidRDefault="00C82A29" w:rsidP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2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29" w:rsidRPr="00C82A29" w:rsidRDefault="00C82A29" w:rsidP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A29">
              <w:rPr>
                <w:rFonts w:ascii="Arial" w:hAnsi="Arial" w:cs="Arial"/>
                <w:color w:val="000000"/>
                <w:sz w:val="20"/>
                <w:szCs w:val="20"/>
              </w:rPr>
              <w:t xml:space="preserve">Tissages de </w:t>
            </w:r>
            <w:proofErr w:type="spellStart"/>
            <w:r w:rsidRPr="00C82A29">
              <w:rPr>
                <w:rFonts w:ascii="Arial" w:hAnsi="Arial" w:cs="Arial"/>
                <w:color w:val="000000"/>
                <w:sz w:val="20"/>
                <w:szCs w:val="20"/>
              </w:rPr>
              <w:t>Gravigny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A29" w:rsidRPr="00C82A29" w:rsidRDefault="00C82A29" w:rsidP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A29">
              <w:rPr>
                <w:rFonts w:ascii="Arial" w:hAnsi="Arial" w:cs="Arial"/>
                <w:color w:val="000000"/>
                <w:sz w:val="20"/>
                <w:szCs w:val="20"/>
              </w:rPr>
              <w:t xml:space="preserve">Dossiers clients, archives techniques , photos, </w:t>
            </w:r>
            <w:proofErr w:type="spellStart"/>
            <w:r w:rsidRPr="00C82A29">
              <w:rPr>
                <w:rFonts w:ascii="Arial" w:hAnsi="Arial" w:cs="Arial"/>
                <w:color w:val="000000"/>
                <w:sz w:val="20"/>
                <w:szCs w:val="20"/>
              </w:rPr>
              <w:t>écantillons</w:t>
            </w:r>
            <w:proofErr w:type="spellEnd"/>
            <w:r w:rsidRPr="00C82A29">
              <w:rPr>
                <w:rFonts w:ascii="Arial" w:hAnsi="Arial" w:cs="Arial"/>
                <w:color w:val="000000"/>
                <w:sz w:val="20"/>
                <w:szCs w:val="20"/>
              </w:rPr>
              <w:t xml:space="preserve"> textiles</w:t>
            </w:r>
          </w:p>
        </w:tc>
      </w:tr>
      <w:tr w:rsidR="00C82A29" w:rsidTr="00AA25C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29" w:rsidRDefault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29" w:rsidRDefault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A29" w:rsidRDefault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Bernard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Bodinier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Travaux universitaires de Bernard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Bodinier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 tirés à part, exemplaires de périodiques, dactylogrammes, résumés, copies de pages de titre, copies de première de couverture, copies de tables des matières (1966-2014)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Fonds de l'Association amicale des anciennes élèves de l' Ecole Normale de filles d' Evreux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Bulletin de l'Association, photographies, correspondance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171 J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Edouard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Isambard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Manuscrits d'Edouard </w:t>
            </w:r>
            <w:proofErr w:type="spellStart"/>
            <w:r>
              <w:rPr>
                <w:rFonts w:ascii="Arial" w:hAnsi="Arial" w:cs="Arial"/>
                <w:color w:val="000000"/>
              </w:rPr>
              <w:t>Isambard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( 1845-1904) , 1 copie d'un jugement du 27 juillet 1824 concernant le droit de franchise dans la </w:t>
            </w:r>
            <w:proofErr w:type="spellStart"/>
            <w:r>
              <w:rPr>
                <w:rFonts w:ascii="Arial" w:hAnsi="Arial" w:cs="Arial"/>
                <w:color w:val="000000"/>
              </w:rPr>
              <w:t>fôret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Merey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;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1 registre du bureau des pauvres de l'hôpital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Pacy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réintégation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en série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Hdt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) </w:t>
            </w:r>
          </w:p>
        </w:tc>
      </w:tr>
      <w:tr w:rsidR="00AA25C5" w:rsidTr="00AA25C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 J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AA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Fonds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Maheut</w:t>
            </w:r>
            <w:proofErr w:type="spellEnd"/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C5" w:rsidRDefault="00C8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Archives familial</w:t>
            </w:r>
            <w:r w:rsidR="00AA25C5">
              <w:rPr>
                <w:rFonts w:ascii="Arial" w:hAnsi="Arial" w:cs="Arial"/>
                <w:color w:val="000000"/>
                <w:sz w:val="20"/>
                <w:szCs w:val="20"/>
              </w:rPr>
              <w:t xml:space="preserve">es témoignant  du passé militaire de Marcel </w:t>
            </w:r>
            <w:proofErr w:type="spellStart"/>
            <w:r w:rsidR="00AA25C5">
              <w:rPr>
                <w:rFonts w:ascii="Arial" w:hAnsi="Arial" w:cs="Arial"/>
                <w:color w:val="000000"/>
                <w:sz w:val="20"/>
                <w:szCs w:val="20"/>
              </w:rPr>
              <w:t>Maheut</w:t>
            </w:r>
            <w:proofErr w:type="spellEnd"/>
            <w:r w:rsidR="00AA25C5">
              <w:rPr>
                <w:rFonts w:ascii="Arial" w:hAnsi="Arial" w:cs="Arial"/>
                <w:color w:val="000000"/>
                <w:sz w:val="20"/>
                <w:szCs w:val="20"/>
              </w:rPr>
              <w:t xml:space="preserve">  (1889-1938) l</w:t>
            </w:r>
          </w:p>
        </w:tc>
      </w:tr>
    </w:tbl>
    <w:p w:rsidR="00E04849" w:rsidRDefault="00E04849"/>
    <w:sectPr w:rsidR="00E0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5"/>
    <w:rsid w:val="0033640D"/>
    <w:rsid w:val="00423478"/>
    <w:rsid w:val="00AA25C5"/>
    <w:rsid w:val="00C82A29"/>
    <w:rsid w:val="00E0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40B6"/>
  <w15:chartTrackingRefBased/>
  <w15:docId w15:val="{CF150D53-69B9-4862-905A-413F980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KOTOWICZ Juliette</dc:creator>
  <cp:keywords/>
  <dc:description/>
  <cp:lastModifiedBy>KOTOWICZ Juliette</cp:lastModifiedBy>
  <cp:revision>2</cp:revision>
  <dcterms:created xsi:type="dcterms:W3CDTF">2022-06-22T09:02:00Z</dcterms:created>
  <dcterms:modified xsi:type="dcterms:W3CDTF">2022-06-22T09:31:00Z</dcterms:modified>
</cp:coreProperties>
</file>